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Focused Compare/Contrast Character Organizer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Title of Text: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Setting Sun and The Rolling World”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Character 1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Musoni       </w:t>
      </w:r>
      <w:r w:rsidDel="00000000" w:rsidR="00000000" w:rsidRPr="00000000">
        <w:rPr>
          <w:sz w:val="20"/>
          <w:szCs w:val="20"/>
          <w:rtl w:val="0"/>
        </w:rPr>
        <w:tab/>
        <w:t xml:space="preserve">Character 2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Nhamo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Similarities</w: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0"/>
        <w:tblGridChange w:id="0">
          <w:tblGrid>
            <w:gridCol w:w="9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MUSONI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Differences                         </w:t>
      </w: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NHAMO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In regard to                                         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195263" cy="195263"/>
            <wp:effectExtent b="0" l="0" r="0" t="0"/>
            <wp:docPr descr="down_arrow1600.png" id="1" name="image2.png"/>
            <a:graphic>
              <a:graphicData uri="http://schemas.openxmlformats.org/drawingml/2006/picture">
                <pic:pic>
                  <pic:nvPicPr>
                    <pic:cNvPr descr="down_arrow1600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95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1500"/>
        <w:gridCol w:w="4140"/>
        <w:tblGridChange w:id="0">
          <w:tblGrid>
            <w:gridCol w:w="4170"/>
            <w:gridCol w:w="1500"/>
            <w:gridCol w:w="4140"/>
          </w:tblGrid>
        </w:tblGridChange>
      </w:tblGrid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Change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Taking Risks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Loyalty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Sacrifice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